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z giełdą BTC - EUR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Giełda Luno jest już dostępna dla klientów w całej Europie, w tym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zaawansowanym systemem wymiany pomiędzy BTC a EUR, który działa na podstawie księgi zleceń i zleceń limitowanych.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"Pomimo, iż giełda jest bardziej złożona niż nasz portfel, gdzie odbywa się zakup i sprzedaż kryptowalut, zapewnia ona większą kontrolę i jest idealna dla profesjonalnych handlowców" - podsumowuje Magdalena Gołębiewska, Head of Eastern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Luno ożesz tworzyć zlecenia z limitem, aby automatycznie kupować lub sprzedawać, gdy cena osiągnie określony próg. </w:t>
      </w:r>
      <w:r>
        <w:rPr>
          <w:rFonts w:ascii="calibri" w:hAnsi="calibri" w:eastAsia="calibri" w:cs="calibri"/>
          <w:sz w:val="24"/>
          <w:szCs w:val="24"/>
        </w:rPr>
        <w:t xml:space="preserve">Giełda Luno jest dostępna w wersji desktop (www), jak również z poziomu aplikacji na Android i iOS oraz za pośrednictwem interfejsu API. Para BTC / EUR jest dostępna dla wszystkich klientów Europie, którzy mają zweryfikowane konta. Szczegóły oraz informacje dotyczące opłat na Giełdzie Luno, można znaleźć na naszej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opłat i funkcji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korzystaniu z giełdy.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ountries" TargetMode="External"/><Relationship Id="rId8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2026-03-11T19:11:51+01:00</dcterms:created>
  <dcterms:modified xsi:type="dcterms:W3CDTF">2026-03-11T19:11:51+01:00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